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ROOECM0074ZPB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38566549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75019520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sz w:val="22"/>
          <w:szCs w:val="22"/>
        </w:rPr>
      </w:pPr>
      <w:sdt>
        <w:sdtPr>
          <w:id w:val="-67509408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414,71</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Brăila</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sdt>
              <w:sdtPr>
                <w:id w:val="1643964121"/>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C">
      <w:pPr>
        <w:rPr>
          <w:b w:val="1"/>
          <w:bCs w:val="1"/>
          <w:sz w:val="22"/>
          <w:szCs w:val="22"/>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sz w:val="22"/>
          <w:szCs w:val="22"/>
        </w:rPr>
      </w:pPr>
      <w:r w:rsidDel="00000000" w:rsidR="00000000" w:rsidRPr="00000000">
        <w:rPr>
          <w:sz w:val="22"/>
          <w:szCs w:val="22"/>
          <w:rtl w:val="0"/>
        </w:rPr>
        <w:t xml:space="preserve">414,71</w:t>
      </w:r>
    </w:p>
    <w:p w:rsidR="00000000" w:rsidDel="00000000" w:rsidP="00000000" w:rsidRDefault="00000000" w:rsidRPr="00000000" w14:paraId="00000070">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 din 29 mai 2026, privind aprobarea Metodologiei de identificare a zonelor prioritare pentru biodiversitate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3210"/>
        <w:gridCol w:w="5790"/>
        <w:tblGridChange w:id="0">
          <w:tblGrid>
            <w:gridCol w:w="3210"/>
            <w:gridCol w:w="57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91I0* Vegetație de silvostepă eurosiberiană cu Quercus spp.</w:t>
            </w:r>
          </w:p>
          <w:p w:rsidR="00000000" w:rsidDel="00000000" w:rsidP="00000000" w:rsidRDefault="00000000" w:rsidRPr="00000000" w14:paraId="0000007B">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C">
            <w:pPr>
              <w:spacing w:after="0" w:lineRule="auto"/>
              <w:jc w:val="both"/>
              <w:rPr>
                <w:i w:val="1"/>
                <w:iCs w:val="1"/>
              </w:rPr>
            </w:pPr>
            <w:r w:rsidDel="00000000" w:rsidR="00000000" w:rsidRPr="00000000">
              <w:rPr>
                <w:i w:val="1"/>
                <w:iCs w:val="1"/>
                <w:sz w:val="22"/>
                <w:szCs w:val="22"/>
                <w:rtl w:val="0"/>
              </w:rPr>
              <w:t xml:space="preserve">92D0 Galerii ripariene și tufărișuri (Nerio-Tamaricetea și Securinegion tinctoriae)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1197 Pelobates fuscus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1200 Pelobates syriacus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6976 Pelophylax esculentus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7">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1292 Natrix tessellata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Dolichophis caspius</w:t>
            </w:r>
          </w:p>
          <w:p w:rsidR="00000000" w:rsidDel="00000000" w:rsidP="00000000" w:rsidRDefault="00000000" w:rsidRPr="00000000" w14:paraId="0000008D">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8F">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5009 Pipistrellus pygmaeus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D">
      <w:pPr>
        <w:rPr>
          <w:b w:val="1"/>
          <w:bCs w:val="1"/>
          <w:sz w:val="22"/>
          <w:szCs w:val="22"/>
        </w:rPr>
      </w:pPr>
      <w:r w:rsidDel="00000000" w:rsidR="00000000" w:rsidRPr="00000000">
        <w:rPr>
          <w:rtl w:val="0"/>
        </w:rPr>
      </w:r>
    </w:p>
    <w:p w:rsidR="00000000" w:rsidDel="00000000" w:rsidP="00000000" w:rsidRDefault="00000000" w:rsidRPr="00000000" w14:paraId="000000BE">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Botnariuc, N., Tatole, V. (Eds.) 2005. Cartea Roșie a Vertebratelor din România.</w:t>
      </w:r>
    </w:p>
    <w:p w:rsidR="00000000" w:rsidDel="00000000" w:rsidP="00000000" w:rsidRDefault="00000000" w:rsidRPr="00000000" w14:paraId="000000C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Candrea Bozga, Ș. B., Lazăr, G., Tudoran, G. M., Stăncioiu, P. T. 2009. Habitate forestiere de importanță comunitară incluse în proiectul LIFE05NAT/RO/000176: „Habitate prioritare alpine, subalpine şi forestiere din România” – Monitorizarea stării de conservare.</w:t>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Roșu  C., Iancu I. 1977  “Stațiuni forestiere”, Vol. II, , Ed. Academiei R.S.R., București</w:t>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w:t>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Popescu, A., Păucă-Comănescu, M., Mihăilescu, S., Biriş, I.-A. 2005. Habitatele din România. Edit. Tehnică Silvică, București.</w:t>
      </w:r>
    </w:p>
    <w:p w:rsidR="00000000" w:rsidDel="00000000" w:rsidP="00000000" w:rsidRDefault="00000000" w:rsidRPr="00000000" w14:paraId="000000C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O. (Eds.), Alexiu, V., Anastasiu, P., Bărbos, M., Burescu, P., Coldea, Gh., Drăgulescu, C., Făgăraș, M., Goia, I., Groza, Gh., Micu, D., Mihăilescu, S., Moldovan, O., Nicolin, A., Niculescu, M., Oprea, A., Oroian, S., Păucă-Comănescu, M., Sârbu, I., Șuteu, A. 2008. Manual de interpretare a habitatelor Natura 2000 din România. Edit. Risoprint, Cluj-Napoca, 101 pp.</w:t>
      </w:r>
    </w:p>
    <w:p w:rsidR="00000000" w:rsidDel="00000000" w:rsidP="00000000" w:rsidRDefault="00000000" w:rsidRPr="00000000" w14:paraId="000000C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Stăncioiu, P. T., Lazăr, G., Tudoran, G. M., Bozga, Ș. B. C., Predoiu, G., Șofletea, N. 2008. Habitatele forestiere de interes comunitar incluse în proiectul LIFE05NAT/RO/000176: Habitate prioritare alpine, subalpine și forestiere din România. Măsuri de gospodărire. Editura Universității Transilvania, Brașov, 184 pp.</w:t>
      </w:r>
    </w:p>
    <w:p w:rsidR="00000000" w:rsidDel="00000000" w:rsidP="00000000" w:rsidRDefault="00000000" w:rsidRPr="00000000" w14:paraId="000000C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7">
      <w:pPr>
        <w:jc w:val="center"/>
        <w:rPr>
          <w:b w:val="1"/>
          <w:bCs w:val="1"/>
          <w:sz w:val="22"/>
          <w:szCs w:val="22"/>
        </w:rPr>
      </w:pPr>
      <w:r w:rsidDel="00000000" w:rsidR="00000000" w:rsidRPr="00000000">
        <w:rPr>
          <w:rtl w:val="0"/>
        </w:rPr>
      </w:r>
    </w:p>
    <w:p w:rsidR="00000000" w:rsidDel="00000000" w:rsidP="00000000" w:rsidRDefault="00000000" w:rsidRPr="00000000" w14:paraId="000000C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10 martie 2025 – Brăila, 14 aprilie 2025 – DS Brăila. </w:t>
      </w:r>
    </w:p>
    <w:p w:rsidR="00000000" w:rsidDel="00000000" w:rsidP="00000000" w:rsidRDefault="00000000" w:rsidRPr="00000000" w14:paraId="000000C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26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factorii interesați din județul Brăila.</w:t>
      </w:r>
    </w:p>
    <w:p w:rsidR="00000000" w:rsidDel="00000000" w:rsidP="00000000" w:rsidRDefault="00000000" w:rsidRPr="00000000" w14:paraId="000000CD">
      <w:pPr>
        <w:rPr>
          <w:b w:val="1"/>
          <w:bCs w:val="1"/>
          <w:sz w:val="22"/>
          <w:szCs w:val="22"/>
        </w:rPr>
      </w:pPr>
      <w:r w:rsidDel="00000000" w:rsidR="00000000" w:rsidRPr="00000000">
        <w:rPr>
          <w:rtl w:val="0"/>
        </w:rPr>
      </w:r>
    </w:p>
    <w:p w:rsidR="00000000" w:rsidDel="00000000" w:rsidP="00000000" w:rsidRDefault="00000000" w:rsidRPr="00000000" w14:paraId="000000CE">
      <w:pPr>
        <w:rPr>
          <w:b w:val="1"/>
          <w:bCs w:val="1"/>
          <w:sz w:val="22"/>
          <w:szCs w:val="22"/>
        </w:rPr>
      </w:pPr>
      <w:r w:rsidDel="00000000" w:rsidR="00000000" w:rsidRPr="00000000">
        <w:rPr>
          <w:rtl w:val="0"/>
        </w:rPr>
      </w:r>
    </w:p>
    <w:p w:rsidR="00000000" w:rsidDel="00000000" w:rsidP="00000000" w:rsidRDefault="00000000" w:rsidRPr="00000000" w14:paraId="000000CF">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0">
      <w:pPr>
        <w:jc w:val="center"/>
        <w:rPr/>
      </w:pPr>
      <w:r w:rsidDel="00000000" w:rsidR="00000000" w:rsidRPr="00000000">
        <w:rPr>
          <w:rtl w:val="0"/>
        </w:rPr>
      </w:r>
    </w:p>
    <w:p w:rsidR="00000000" w:rsidDel="00000000" w:rsidP="00000000" w:rsidRDefault="00000000" w:rsidRPr="00000000" w14:paraId="000000D1">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Link: </w:t>
      </w:r>
      <w:hyperlink r:id="rId7">
        <w:r w:rsidDel="00000000" w:rsidR="00000000" w:rsidRPr="00000000">
          <w:rPr>
            <w:color w:val="467886"/>
            <w:sz w:val="22"/>
            <w:szCs w:val="22"/>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XpXBhOk3jbFAeFGmu3J1W77UGA==">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N1NZX3lMdG5VRkUtRVZUM2s3ekhmZV9ESGtlU0tvaH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